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before="100" w:after="100" w:line="360" w:lineRule="auto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de-DE"/>
        </w:rPr>
        <w:t>PRESSEINFORMATION</w:t>
      </w:r>
    </w:p>
    <w:p>
      <w:pPr>
        <w:pStyle w:val="Normal.0"/>
        <w:spacing w:before="100" w:after="100" w:line="36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de-DE"/>
        </w:rPr>
        <w:t>Graebener</w:t>
      </w:r>
      <w:r>
        <w:rPr>
          <w:rFonts w:ascii="Times New Roman" w:hAnsi="Times New Roman" w:hint="default"/>
          <w:rtl w:val="0"/>
          <w:lang w:val="de-DE"/>
        </w:rPr>
        <w:t>®</w:t>
      </w:r>
    </w:p>
    <w:p>
      <w:pPr>
        <w:pStyle w:val="Normal.0"/>
        <w:spacing w:before="100" w:after="100" w:line="360" w:lineRule="auto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de-DE"/>
        </w:rPr>
        <w:t>Oktober</w:t>
      </w:r>
      <w:r>
        <w:rPr>
          <w:rFonts w:ascii="Times New Roman" w:hAnsi="Times New Roman"/>
          <w:rtl w:val="0"/>
          <w:lang w:val="de-DE"/>
        </w:rPr>
        <w:t xml:space="preserve"> 2021</w:t>
      </w:r>
    </w:p>
    <w:p>
      <w:pPr>
        <w:pStyle w:val="Normal.0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de-DE"/>
        </w:rPr>
        <w:t>Wasserstofftechnologie: Nationale Fertigungskapazit</w:t>
      </w:r>
      <w:r>
        <w:rPr>
          <w:b w:val="1"/>
          <w:bCs w:val="1"/>
          <w:sz w:val="32"/>
          <w:szCs w:val="32"/>
          <w:rtl w:val="0"/>
          <w:lang w:val="de-DE"/>
        </w:rPr>
        <w:t>ä</w:t>
      </w:r>
      <w:r>
        <w:rPr>
          <w:b w:val="1"/>
          <w:bCs w:val="1"/>
          <w:sz w:val="32"/>
          <w:szCs w:val="32"/>
          <w:rtl w:val="0"/>
          <w:lang w:val="de-DE"/>
        </w:rPr>
        <w:t>ten aufbauen</w:t>
      </w:r>
    </w:p>
    <w:p>
      <w:pPr>
        <w:pStyle w:val="Normal.0"/>
      </w:pPr>
    </w:p>
    <w:p>
      <w:pPr>
        <w:pStyle w:val="Normal.0"/>
        <w:spacing w:line="312" w:lineRule="auto"/>
      </w:pPr>
      <w:r>
        <w:rPr>
          <w:rtl w:val="0"/>
          <w:lang w:val="de-DE"/>
        </w:rPr>
        <w:t>Der derzeitige Chip-Mangel in der Autoindustrie zeigt deutlich die negativen Folgen, wenn die globalen Lieferketten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Kompetenz-Bauteile ausfallen oder nicht die ben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tigten 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ckzahlen bereitstehen. Eigene Zulieferer in der 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he sind ein strategischer Vorteil. Das gilt insbesondere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volkswirtschaftlich so bedeutsame Zukunftsvorhaben wie die umweltfreundliche Wasserstoff-Technologie.</w:t>
      </w:r>
    </w:p>
    <w:p>
      <w:pPr>
        <w:pStyle w:val="Normal.0"/>
        <w:spacing w:line="312" w:lineRule="auto"/>
      </w:pPr>
    </w:p>
    <w:p>
      <w:pPr>
        <w:pStyle w:val="Normal.0"/>
        <w:spacing w:line="312" w:lineRule="auto"/>
      </w:pPr>
      <w:r>
        <w:rPr>
          <w:rtl w:val="0"/>
          <w:lang w:val="de-DE"/>
        </w:rPr>
        <w:t xml:space="preserve">Mit der </w:t>
      </w:r>
      <w:r>
        <w:rPr>
          <w:rtl w:val="0"/>
          <w:lang w:val="de-DE"/>
        </w:rPr>
        <w:t>„</w:t>
      </w:r>
      <w:r>
        <w:rPr>
          <w:rtl w:val="0"/>
          <w:lang w:val="de-DE"/>
        </w:rPr>
        <w:t>Nationalen Wasserstoffstrategie</w:t>
      </w:r>
      <w:r>
        <w:rPr>
          <w:rtl w:val="0"/>
          <w:lang w:val="de-DE"/>
        </w:rPr>
        <w:t xml:space="preserve">“ </w:t>
      </w:r>
      <w:r>
        <w:rPr>
          <w:rtl w:val="0"/>
          <w:lang w:val="de-DE"/>
        </w:rPr>
        <w:t>hat die Bundesregierung die Voraussetzungen geschaffen, um eine globale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hrungsrolle bei der klimasch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tzenden Energieerzeugung einzunehmen. Dazu geh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rt auch, innovative und zuverl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ssige Produktions- und Lieferketten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die Kernbauteile sicherzustellen.</w:t>
      </w:r>
    </w:p>
    <w:p>
      <w:pPr>
        <w:pStyle w:val="Normal.0"/>
        <w:spacing w:line="312" w:lineRule="auto"/>
      </w:pPr>
    </w:p>
    <w:p>
      <w:pPr>
        <w:pStyle w:val="Normal.0"/>
        <w:spacing w:line="312" w:lineRule="auto"/>
      </w:pPr>
      <w:r>
        <w:rPr>
          <w:rtl w:val="0"/>
          <w:lang w:val="de-DE"/>
        </w:rPr>
        <w:t>Das Maschinenbau-Unternehmen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>Bipolar Plate Technologies bietet hier konkrete 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sungsperspektiven.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 xml:space="preserve">entwickelt und stellt Fertigungslinien zur Produktion von Bipolarplatten her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dem Herzst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ck von Brennstoffzellen. </w:t>
      </w:r>
      <w:r>
        <w:rPr>
          <w:rtl w:val="0"/>
          <w:lang w:val="de-DE"/>
        </w:rPr>
        <w:t>„</w:t>
      </w:r>
      <w:r>
        <w:rPr>
          <w:rtl w:val="0"/>
          <w:lang w:val="de-DE"/>
        </w:rPr>
        <w:t>Im asiatischen Raum, insbesondere in Japan, S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dkorea und China, geht die Entwicklung deutlich dynamischer voran. Wenn wir zur Spitzengruppe geh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ren wollen,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 wir jetzt den Weg von der Entwicklung zur Serienproduktion signifikant verk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rzen</w:t>
      </w:r>
      <w:r>
        <w:rPr>
          <w:rtl w:val="0"/>
          <w:lang w:val="de-DE"/>
        </w:rPr>
        <w:t>“</w:t>
      </w:r>
      <w:r>
        <w:rPr>
          <w:rtl w:val="0"/>
          <w:lang w:val="de-DE"/>
        </w:rPr>
        <w:t>, erkl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rt Fabian Kapp, Gesch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ftsf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hrer von Graebener</w:t>
      </w:r>
      <w:r>
        <w:rPr>
          <w:rtl w:val="0"/>
          <w:lang w:val="de-DE"/>
        </w:rPr>
        <w:t>®</w:t>
      </w:r>
      <w:r>
        <w:rPr>
          <w:rtl w:val="0"/>
          <w:lang w:val="de-DE"/>
        </w:rPr>
        <w:t xml:space="preserve">. </w:t>
      </w:r>
    </w:p>
    <w:p>
      <w:pPr>
        <w:pStyle w:val="Normal.0"/>
        <w:spacing w:line="312" w:lineRule="auto"/>
      </w:pPr>
    </w:p>
    <w:p>
      <w:pPr>
        <w:pStyle w:val="Normal.0"/>
        <w:spacing w:line="312" w:lineRule="auto"/>
      </w:pPr>
      <w:r>
        <w:rPr>
          <w:rtl w:val="0"/>
          <w:lang w:val="de-DE"/>
        </w:rPr>
        <w:t>Damit die Kunden sicher und erfolgreich in den Markt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Bipolarplatten eintreten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nnen, hat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>das sogenannte Applikationslabor eingerichtet. Es bildet die Herstellungsprozesse und Fertigungslinie unter realen Bedingungen nach. Das hei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 xml:space="preserve">t, von der Umformung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das Schneiden bis hin zum Schwei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stehen alle Maschinen zur Verf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gung, um Prototypen von Bipolarplatten auf Serientauglichkeit zu pr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fen und zu optimieren. </w:t>
      </w:r>
    </w:p>
    <w:p>
      <w:pPr>
        <w:pStyle w:val="Normal.0"/>
        <w:spacing w:line="312" w:lineRule="auto"/>
      </w:pPr>
    </w:p>
    <w:p>
      <w:pPr>
        <w:pStyle w:val="Normal.0"/>
        <w:spacing w:line="312" w:lineRule="auto"/>
      </w:pPr>
      <w:r>
        <w:rPr>
          <w:rtl w:val="0"/>
          <w:lang w:val="de-DE"/>
        </w:rPr>
        <w:t xml:space="preserve">Fabian Kapp: </w:t>
      </w:r>
      <w:r>
        <w:rPr>
          <w:rtl w:val="0"/>
          <w:lang w:val="de-DE"/>
        </w:rPr>
        <w:t>„</w:t>
      </w:r>
      <w:r>
        <w:rPr>
          <w:rtl w:val="0"/>
          <w:lang w:val="de-DE"/>
        </w:rPr>
        <w:t>Mit unserem Applikationslabor schaffen wir im Vorfeld Investitions- und Fertigungssicherheit und bleiben anschlie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end an der Seite des Kunden, wenn wir mit flexiblen, skalierbaren 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sungen komplette Fertigungslinien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Bipolarplatten realisieren.</w:t>
      </w:r>
      <w:r>
        <w:rPr>
          <w:rtl w:val="0"/>
          <w:lang w:val="de-DE"/>
        </w:rPr>
        <w:t xml:space="preserve">“ 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spacing w:line="276" w:lineRule="auto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 w:hint="default"/>
          <w:b w:val="1"/>
          <w:bCs w:val="1"/>
          <w:rtl w:val="0"/>
          <w:lang w:val="de-DE"/>
        </w:rPr>
        <w:t>Ü</w:t>
      </w:r>
      <w:r>
        <w:rPr>
          <w:rFonts w:ascii="Times New Roman" w:hAnsi="Times New Roman"/>
          <w:b w:val="1"/>
          <w:bCs w:val="1"/>
          <w:rtl w:val="0"/>
          <w:lang w:val="de-DE"/>
        </w:rPr>
        <w:t>ber Graebener</w:t>
      </w:r>
      <w:r>
        <w:rPr>
          <w:rFonts w:ascii="Times New Roman" w:hAnsi="Times New Roman" w:hint="default"/>
          <w:b w:val="1"/>
          <w:bCs w:val="1"/>
          <w:rtl w:val="0"/>
          <w:lang w:val="de-DE"/>
        </w:rPr>
        <w:t xml:space="preserve">® </w:t>
      </w:r>
      <w:r>
        <w:rPr>
          <w:rFonts w:ascii="Times New Roman" w:hAnsi="Times New Roman"/>
          <w:b w:val="1"/>
          <w:bCs w:val="1"/>
          <w:rtl w:val="0"/>
          <w:lang w:val="de-DE"/>
        </w:rPr>
        <w:t>Bipolar Plate Technologies</w:t>
      </w:r>
    </w:p>
    <w:p>
      <w:pPr>
        <w:pStyle w:val="Normal.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7999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de-DE"/>
        </w:rPr>
        <w:t>Graebener</w:t>
      </w:r>
      <w:r>
        <w:rPr>
          <w:rFonts w:ascii="Times New Roman" w:hAnsi="Times New Roman" w:hint="default"/>
          <w:rtl w:val="0"/>
          <w:lang w:val="de-DE"/>
        </w:rPr>
        <w:t xml:space="preserve">® </w:t>
      </w:r>
      <w:r>
        <w:rPr>
          <w:rFonts w:ascii="Times New Roman" w:hAnsi="Times New Roman"/>
          <w:rtl w:val="0"/>
          <w:lang w:val="de-DE"/>
        </w:rPr>
        <w:t>Bipolar Plate Technologies (BPT) ist Teil der Graebener</w:t>
      </w:r>
      <w:r>
        <w:rPr>
          <w:rFonts w:ascii="Times New Roman" w:hAnsi="Times New Roman" w:hint="default"/>
          <w:rtl w:val="0"/>
          <w:lang w:val="de-DE"/>
        </w:rPr>
        <w:t xml:space="preserve">® </w:t>
      </w:r>
      <w:r>
        <w:rPr>
          <w:rFonts w:ascii="Times New Roman" w:hAnsi="Times New Roman"/>
          <w:rtl w:val="0"/>
          <w:lang w:val="de-DE"/>
        </w:rPr>
        <w:t>Maschinentechnik, eines familiengef</w:t>
      </w:r>
      <w:r>
        <w:rPr>
          <w:rFonts w:ascii="Times New Roman" w:hAnsi="Times New Roman" w:hint="default"/>
          <w:rtl w:val="0"/>
          <w:lang w:val="de-DE"/>
        </w:rPr>
        <w:t>ü</w:t>
      </w:r>
      <w:r>
        <w:rPr>
          <w:rFonts w:ascii="Times New Roman" w:hAnsi="Times New Roman"/>
          <w:rtl w:val="0"/>
          <w:lang w:val="de-DE"/>
        </w:rPr>
        <w:t>hrten Maschinenbau-Unternehmens mit Standorten in Netphen (Deutschland), Houston (USA) und Shanghai (China) sowie diversen internationalen Vertretungen. Als eines der ersten Unternehmen befasst sich Graebener</w:t>
      </w:r>
      <w:r>
        <w:rPr>
          <w:rFonts w:ascii="Times New Roman" w:hAnsi="Times New Roman" w:hint="default"/>
          <w:rtl w:val="0"/>
          <w:lang w:val="de-DE"/>
        </w:rPr>
        <w:t xml:space="preserve">® </w:t>
      </w:r>
      <w:r>
        <w:rPr>
          <w:rFonts w:ascii="Times New Roman" w:hAnsi="Times New Roman"/>
          <w:rtl w:val="0"/>
          <w:lang w:val="de-DE"/>
        </w:rPr>
        <w:t>BPT seit fast 20 Jahren mit der Forschung und Entwicklung von Hydroforming-basierten Fertigungsverfahren f</w:t>
      </w:r>
      <w:r>
        <w:rPr>
          <w:rFonts w:ascii="Times New Roman" w:hAnsi="Times New Roman" w:hint="default"/>
          <w:rtl w:val="0"/>
          <w:lang w:val="de-DE"/>
        </w:rPr>
        <w:t>ü</w:t>
      </w:r>
      <w:r>
        <w:rPr>
          <w:rFonts w:ascii="Times New Roman" w:hAnsi="Times New Roman"/>
          <w:rtl w:val="0"/>
          <w:lang w:val="de-DE"/>
        </w:rPr>
        <w:t xml:space="preserve">r Bipolarplatten. </w:t>
      </w:r>
    </w:p>
    <w:p>
      <w:pPr>
        <w:pStyle w:val="Normal.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7999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de-DE"/>
        </w:rPr>
        <w:t>Das Unternehmen hat sich mit seiner Sparte Bipolar Plate Technologies dem Ziel verschrieben, den Qualit</w:t>
      </w:r>
      <w:r>
        <w:rPr>
          <w:rFonts w:ascii="Times New Roman" w:hAnsi="Times New Roman" w:hint="default"/>
          <w:rtl w:val="0"/>
          <w:lang w:val="de-DE"/>
        </w:rPr>
        <w:t>ä</w:t>
      </w:r>
      <w:r>
        <w:rPr>
          <w:rFonts w:ascii="Times New Roman" w:hAnsi="Times New Roman"/>
          <w:rtl w:val="0"/>
          <w:lang w:val="de-DE"/>
        </w:rPr>
        <w:t>tsstandard f</w:t>
      </w:r>
      <w:r>
        <w:rPr>
          <w:rFonts w:ascii="Times New Roman" w:hAnsi="Times New Roman" w:hint="default"/>
          <w:rtl w:val="0"/>
          <w:lang w:val="de-DE"/>
        </w:rPr>
        <w:t>ü</w:t>
      </w:r>
      <w:r>
        <w:rPr>
          <w:rFonts w:ascii="Times New Roman" w:hAnsi="Times New Roman"/>
          <w:rtl w:val="0"/>
          <w:lang w:val="de-DE"/>
        </w:rPr>
        <w:t>r Technologien zur Fertigung von Bipolarplatten zu schaffen. Dabei entwickelt Graebener</w:t>
      </w:r>
      <w:r>
        <w:rPr>
          <w:rFonts w:ascii="Times New Roman" w:hAnsi="Times New Roman" w:hint="default"/>
          <w:rtl w:val="0"/>
          <w:lang w:val="de-DE"/>
        </w:rPr>
        <w:t xml:space="preserve">® </w:t>
      </w:r>
      <w:r>
        <w:rPr>
          <w:rFonts w:ascii="Times New Roman" w:hAnsi="Times New Roman"/>
          <w:rtl w:val="0"/>
          <w:lang w:val="de-DE"/>
        </w:rPr>
        <w:t>BPT zukunftsweisende Verfahren, die dabei helfen, Komponenten f</w:t>
      </w:r>
      <w:r>
        <w:rPr>
          <w:rFonts w:ascii="Times New Roman" w:hAnsi="Times New Roman" w:hint="default"/>
          <w:rtl w:val="0"/>
          <w:lang w:val="de-DE"/>
        </w:rPr>
        <w:t>ü</w:t>
      </w:r>
      <w:r>
        <w:rPr>
          <w:rFonts w:ascii="Times New Roman" w:hAnsi="Times New Roman"/>
          <w:rtl w:val="0"/>
          <w:lang w:val="de-DE"/>
        </w:rPr>
        <w:t xml:space="preserve">r wasserstoffbasierte Energieerzeugung passgenau, integrierbar, skalierbar und somit 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de-DE"/>
        </w:rPr>
        <w:t>konomisch effizient herzustellen.</w:t>
      </w:r>
      <w:r>
        <w:rPr>
          <w:rFonts w:ascii="Times New Roman" w:cs="Times New Roman" w:hAnsi="Times New Roman" w:eastAsia="Times New Roman"/>
          <w:lang w:val="de-DE"/>
        </w:rPr>
        <w:br w:type="textWrapping"/>
      </w:r>
    </w:p>
    <w:p>
      <w:pPr>
        <w:pStyle w:val="Normal.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7999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de-DE"/>
        </w:rPr>
        <w:t>Graebener</w:t>
      </w:r>
      <w:r>
        <w:rPr>
          <w:rFonts w:ascii="Times New Roman" w:hAnsi="Times New Roman" w:hint="default"/>
          <w:rtl w:val="0"/>
          <w:lang w:val="de-DE"/>
        </w:rPr>
        <w:t xml:space="preserve">® </w:t>
      </w:r>
      <w:r>
        <w:rPr>
          <w:rFonts w:ascii="Times New Roman" w:hAnsi="Times New Roman"/>
          <w:rtl w:val="0"/>
          <w:lang w:val="de-DE"/>
        </w:rPr>
        <w:t xml:space="preserve">BPT begleitet alle strategisch wichtigen Schritte hin zur optimal ausgelegten Fertigungsanlage: Angefangen beim Engineering mit Blick auf Plattendesign und Anlagentechnologie </w:t>
      </w:r>
      <w:r>
        <w:rPr>
          <w:rFonts w:ascii="Times New Roman" w:hAnsi="Times New Roman" w:hint="default"/>
          <w:rtl w:val="0"/>
          <w:lang w:val="de-DE"/>
        </w:rPr>
        <w:t>ü</w:t>
      </w:r>
      <w:r>
        <w:rPr>
          <w:rFonts w:ascii="Times New Roman" w:hAnsi="Times New Roman"/>
          <w:rtl w:val="0"/>
          <w:lang w:val="de-DE"/>
        </w:rPr>
        <w:t>ber Prototyping und Pre-Buy-Service im hauseigenen Applikationslabor bis hin zur kundenindividuellen Fertigungsanlage oder -linie. Dabei flie</w:t>
      </w:r>
      <w:r>
        <w:rPr>
          <w:rFonts w:ascii="Times New Roman" w:hAnsi="Times New Roman" w:hint="default"/>
          <w:rtl w:val="0"/>
          <w:lang w:val="de-DE"/>
        </w:rPr>
        <w:t>ß</w:t>
      </w:r>
      <w:r>
        <w:rPr>
          <w:rFonts w:ascii="Times New Roman" w:hAnsi="Times New Roman"/>
          <w:rtl w:val="0"/>
          <w:lang w:val="de-DE"/>
        </w:rPr>
        <w:t>en Erfahrungswerte aus rund 100 Jahren Metallverarbeitung und weltweiten kundenspezifischen Sonderl</w:t>
      </w:r>
      <w:r>
        <w:rPr>
          <w:rFonts w:ascii="Times New Roman" w:hAnsi="Times New Roman" w:hint="default"/>
          <w:rtl w:val="0"/>
          <w:lang w:val="sv-SE"/>
        </w:rPr>
        <w:t>ö</w:t>
      </w:r>
      <w:r>
        <w:rPr>
          <w:rFonts w:ascii="Times New Roman" w:hAnsi="Times New Roman"/>
          <w:rtl w:val="0"/>
          <w:lang w:val="de-DE"/>
        </w:rPr>
        <w:t xml:space="preserve">sungen in die ganzheitliche Entwicklungspartnerschaft mit dem Kunden </w:t>
      </w:r>
    </w:p>
    <w:p>
      <w:pPr>
        <w:pStyle w:val="Normal.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7999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de-DE"/>
        </w:rPr>
        <w:t>ein.</w:t>
      </w:r>
    </w:p>
    <w:p>
      <w:pPr>
        <w:pStyle w:val="Normal.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7999"/>
        </w:tabs>
        <w:rPr>
          <w:rFonts w:ascii="Times New Roman" w:cs="Times New Roman" w:hAnsi="Times New Roman" w:eastAsia="Times New Roman"/>
        </w:rPr>
      </w:pPr>
    </w:p>
    <w:p>
      <w:pPr>
        <w:pStyle w:val="List Paragraph"/>
        <w:numPr>
          <w:ilvl w:val="0"/>
          <w:numId w:val="2"/>
        </w:numPr>
        <w:rPr>
          <w:b w:val="1"/>
          <w:bCs w:val="1"/>
        </w:rPr>
      </w:pPr>
      <w:r>
        <w:rPr>
          <w:b w:val="1"/>
          <w:bCs w:val="1"/>
        </w:rPr>
        <w:br w:type="textWrapping"/>
      </w:r>
      <w:r>
        <w:rPr>
          <w:b w:val="1"/>
          <w:bCs w:val="1"/>
          <w:rtl w:val="0"/>
          <w:lang w:val="de-DE"/>
        </w:rPr>
        <w:t>Pressebild 1:</w:t>
      </w:r>
    </w:p>
    <w:p>
      <w:pPr>
        <w:pStyle w:val="List Paragraph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Hydroforming im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>Applikationslabor /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>Hydroformingpresse</w:t>
      </w:r>
      <w:r>
        <w:br w:type="textWrapping"/>
      </w:r>
      <w:r>
        <w:rPr>
          <w:rtl w:val="0"/>
          <w:lang w:val="de-DE"/>
        </w:rPr>
        <w:t>Bildunterschrift: Die Hydroformingpresse ist elementarer Bestandteil der Prozesskette bei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>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das materialschonende und hochpr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zise Formen metallischer Bipolarplatten.</w:t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424815</wp:posOffset>
            </wp:positionH>
            <wp:positionV relativeFrom="line">
              <wp:posOffset>321701</wp:posOffset>
            </wp:positionV>
            <wp:extent cx="4108985" cy="2675406"/>
            <wp:effectExtent l="0" t="0" r="0" b="0"/>
            <wp:wrapTopAndBottom distT="152400" distB="152400"/>
            <wp:docPr id="1073741825" name="officeArt object" descr="Bil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Bild" descr="Bild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8985" cy="267540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b w:val="1"/>
          <w:bCs w:val="1"/>
          <w:rtl w:val="0"/>
          <w:lang w:val="de-DE"/>
        </w:rPr>
        <w:t>Pressebild 2:</w:t>
      </w:r>
      <w:r>
        <w:rPr>
          <w:b w:val="1"/>
          <w:bCs w:val="1"/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465455</wp:posOffset>
            </wp:positionH>
            <wp:positionV relativeFrom="line">
              <wp:posOffset>159384</wp:posOffset>
            </wp:positionV>
            <wp:extent cx="2778847" cy="1852565"/>
            <wp:effectExtent l="0" t="0" r="0" b="0"/>
            <wp:wrapTopAndBottom distT="152400" distB="152400"/>
            <wp:docPr id="1073741826" name="officeArt object" descr="Bil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Bild" descr="Bild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8847" cy="18525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List Paragraph"/>
        <w:numPr>
          <w:ilvl w:val="0"/>
          <w:numId w:val="2"/>
        </w:numPr>
        <w:rPr>
          <w:lang w:val="de-DE"/>
        </w:rPr>
      </w:pPr>
      <w:r>
        <w:rPr>
          <w:rtl w:val="0"/>
          <w:lang w:val="de-DE"/>
        </w:rPr>
        <w:t>Laserschneiden im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>Applikationslabor</w:t>
      </w:r>
      <w:r>
        <w:br w:type="textWrapping"/>
      </w:r>
      <w:r>
        <w:rPr>
          <w:rtl w:val="0"/>
          <w:lang w:val="de-DE"/>
        </w:rPr>
        <w:t>Laserschneiden ist Pr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zisionsarbeit. Im Applikationslabor von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Kunden bereits im Vorfeld Investitions- und Fertigungssicherheit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ihre Produktion schaffen.</w:t>
      </w:r>
    </w:p>
    <w:p>
      <w:pPr>
        <w:pStyle w:val="List Paragraph"/>
        <w:ind w:left="0" w:firstLine="0"/>
      </w:pPr>
      <w:r>
        <w:br w:type="textWrapping"/>
        <w:br w:type="textWrapping"/>
      </w:r>
    </w:p>
    <w:p>
      <w:pPr>
        <w:pStyle w:val="List Paragraph"/>
        <w:numPr>
          <w:ilvl w:val="0"/>
          <w:numId w:val="2"/>
        </w:numPr>
        <w:rPr>
          <w:lang w:val="de-DE"/>
        </w:rPr>
      </w:pPr>
      <w:r>
        <w:rPr>
          <w:b w:val="1"/>
          <w:bCs w:val="1"/>
          <w:rtl w:val="0"/>
          <w:lang w:val="de-DE"/>
        </w:rPr>
        <w:t>Pressebild 3:</w:t>
      </w:r>
      <w:r>
        <w:rPr>
          <w:b w:val="1"/>
          <w:bCs w:val="1"/>
        </w:rP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465455</wp:posOffset>
            </wp:positionH>
            <wp:positionV relativeFrom="line">
              <wp:posOffset>229120</wp:posOffset>
            </wp:positionV>
            <wp:extent cx="3232802" cy="2216265"/>
            <wp:effectExtent l="0" t="0" r="0" b="0"/>
            <wp:wrapTopAndBottom distT="152400" distB="152400"/>
            <wp:docPr id="1073741827" name="officeArt object" descr="Bil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Bild" descr="Bild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802" cy="22162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br w:type="textWrapping"/>
      </w:r>
      <w:r>
        <w:rPr>
          <w:rtl w:val="0"/>
          <w:lang w:val="de-DE"/>
        </w:rPr>
        <w:t>Damit die Kunden sicher und erfolgreich in den Markt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Bipolarplatten eintreten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nnen, hat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>das sogenannte Applikationslabor eingerichtet. Es bildet unter anderem die Laserschneid- und -schwei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prozesse unter realen Bedingungen nach. Im Bild: Pr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fung eines Bipolarplatten-Prototyps im Graebener</w:t>
      </w:r>
      <w:r>
        <w:rPr>
          <w:rtl w:val="0"/>
          <w:lang w:val="de-DE"/>
        </w:rPr>
        <w:t xml:space="preserve">® </w:t>
      </w:r>
      <w:r>
        <w:rPr>
          <w:rtl w:val="0"/>
          <w:lang w:val="de-DE"/>
        </w:rPr>
        <w:t>Applikationslabor.</w:t>
      </w:r>
    </w:p>
    <w:p>
      <w:pPr>
        <w:pStyle w:val="List Paragraph"/>
        <w:bidi w:val="0"/>
        <w:ind w:left="0" w:right="0" w:firstLine="0"/>
        <w:jc w:val="left"/>
        <w:rPr>
          <w:strike w:val="1"/>
          <w:dstrike w:val="0"/>
          <w:rtl w:val="0"/>
        </w:rPr>
      </w:pPr>
    </w:p>
    <w:p>
      <w:pPr>
        <w:pStyle w:val="Normal.0"/>
        <w:spacing w:line="276" w:lineRule="auto"/>
      </w:pPr>
    </w:p>
    <w:p>
      <w:pPr>
        <w:pStyle w:val="Normal.0"/>
      </w:pPr>
      <w:r/>
    </w:p>
    <w:sectPr>
      <w:headerReference w:type="default" r:id="rId7"/>
      <w:footerReference w:type="default" r:id="rId8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ierter Stil: 1"/>
  </w:abstractNum>
  <w:abstractNum w:abstractNumId="1">
    <w:multiLevelType w:val="hybridMultilevel"/>
    <w:styleLink w:val="Importierter Stil: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numbering" w:styleId="Importierter Stil: 1">
    <w:name w:val="Importierter Stil: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